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>zákona č. 300/2005 Z. z. Trestný</w:t>
      </w:r>
      <w:bookmarkStart w:id="0" w:name="_GoBack"/>
      <w:bookmarkEnd w:id="0"/>
      <w:r>
        <w:rPr>
          <w:lang w:eastAsia="sk-SK"/>
        </w:rPr>
        <w:t xml:space="preserve">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3051F1"/>
    <w:rsid w:val="005B1EE5"/>
    <w:rsid w:val="0063294B"/>
    <w:rsid w:val="006C5F87"/>
    <w:rsid w:val="006D7455"/>
    <w:rsid w:val="00751DEC"/>
    <w:rsid w:val="00776A4A"/>
    <w:rsid w:val="007D736E"/>
    <w:rsid w:val="00832034"/>
    <w:rsid w:val="008775DA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D069-2E9F-4AC0-A0FE-170FB645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2</cp:revision>
  <cp:lastPrinted>2021-07-09T09:37:00Z</cp:lastPrinted>
  <dcterms:created xsi:type="dcterms:W3CDTF">2021-07-09T09:52:00Z</dcterms:created>
  <dcterms:modified xsi:type="dcterms:W3CDTF">2021-07-09T09:52:00Z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